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B882" w14:textId="77777777" w:rsidR="007A122F" w:rsidRDefault="007A122F" w:rsidP="007A122F">
      <w:pPr>
        <w:spacing w:before="120"/>
        <w:jc w:val="center"/>
        <w:rPr>
          <w:sz w:val="28"/>
          <w:szCs w:val="28"/>
        </w:rPr>
      </w:pPr>
      <w:r>
        <w:rPr>
          <w:b/>
          <w:bCs/>
          <w:sz w:val="28"/>
          <w:szCs w:val="28"/>
        </w:rPr>
        <w:t>BẢNG LIỆT KÊ TÀI SẢN</w:t>
      </w:r>
    </w:p>
    <w:p w14:paraId="50E52E57" w14:textId="77777777" w:rsidR="007A122F" w:rsidRDefault="007A122F" w:rsidP="007A122F">
      <w:pPr>
        <w:spacing w:before="120"/>
        <w:ind w:firstLine="709"/>
        <w:jc w:val="center"/>
        <w:rPr>
          <w:b/>
          <w:bCs/>
          <w:sz w:val="28"/>
          <w:szCs w:val="28"/>
        </w:rPr>
      </w:pPr>
    </w:p>
    <w:p w14:paraId="191666C1" w14:textId="77777777" w:rsidR="00CD359C" w:rsidRDefault="00260BB6" w:rsidP="00260BB6">
      <w:pPr>
        <w:spacing w:before="120" w:line="300" w:lineRule="exact"/>
        <w:ind w:firstLine="720"/>
        <w:jc w:val="both"/>
        <w:rPr>
          <w:bCs/>
          <w:color w:val="000000"/>
          <w:sz w:val="28"/>
          <w:szCs w:val="28"/>
        </w:rPr>
      </w:pPr>
      <w:bookmarkStart w:id="0" w:name="_Hlk156573800"/>
      <w:r w:rsidRPr="00260BB6">
        <w:rPr>
          <w:b/>
          <w:color w:val="000000"/>
          <w:sz w:val="28"/>
          <w:szCs w:val="28"/>
        </w:rPr>
        <w:t>Tên tài sản đấu giá:</w:t>
      </w:r>
      <w:r>
        <w:rPr>
          <w:bCs/>
          <w:color w:val="000000"/>
          <w:sz w:val="28"/>
          <w:szCs w:val="28"/>
        </w:rPr>
        <w:t xml:space="preserve"> </w:t>
      </w:r>
    </w:p>
    <w:p w14:paraId="38317AFE" w14:textId="2BFDC968" w:rsidR="00260BB6" w:rsidRPr="00F663A7" w:rsidRDefault="00F663A7" w:rsidP="00F663A7">
      <w:pPr>
        <w:spacing w:before="120" w:line="300" w:lineRule="exact"/>
        <w:ind w:firstLine="720"/>
        <w:jc w:val="both"/>
        <w:rPr>
          <w:bCs/>
          <w:color w:val="000000"/>
          <w:sz w:val="28"/>
          <w:szCs w:val="28"/>
        </w:rPr>
      </w:pPr>
      <w:r w:rsidRPr="00F663A7">
        <w:rPr>
          <w:bCs/>
          <w:color w:val="000000"/>
          <w:sz w:val="28"/>
          <w:szCs w:val="28"/>
        </w:rPr>
        <w:t>Nhà, đất số 13E đường Hồ Hảo Hớn, phường Cầu</w:t>
      </w:r>
      <w:r>
        <w:rPr>
          <w:bCs/>
          <w:color w:val="000000"/>
          <w:sz w:val="28"/>
          <w:szCs w:val="28"/>
        </w:rPr>
        <w:t xml:space="preserve"> </w:t>
      </w:r>
      <w:r w:rsidRPr="00F663A7">
        <w:rPr>
          <w:bCs/>
          <w:color w:val="000000"/>
          <w:sz w:val="28"/>
          <w:szCs w:val="28"/>
        </w:rPr>
        <w:t>Ông Lãnh (trước đây là phường Cô Giang, Quận 1), Thành phố Hồ Chí Minh.</w:t>
      </w:r>
      <w:r w:rsidR="00260BB6" w:rsidRPr="00BC385F">
        <w:rPr>
          <w:bCs/>
          <w:color w:val="000000"/>
          <w:sz w:val="28"/>
          <w:szCs w:val="28"/>
        </w:rPr>
        <w:t xml:space="preserve">. </w:t>
      </w:r>
    </w:p>
    <w:p w14:paraId="44CB1D5B"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Quyền sử dụng đất ở:</w:t>
      </w:r>
    </w:p>
    <w:p w14:paraId="601D0162"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Thuộc thửa đất số 59, tờ bản đồ số 33, phường Cầu Ông Lãnh (trước đây là phường Cô Giang, Quận 1), Thành phố Hồ Chí Minh (Theo tài liệu đo năm 2002).</w:t>
      </w:r>
    </w:p>
    <w:p w14:paraId="53CAED2F"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Diện tích theo GCN: 47.8 m²</w:t>
      </w:r>
    </w:p>
    <w:p w14:paraId="2AFA0316"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Hình thức sử dụng: riêng.</w:t>
      </w:r>
    </w:p>
    <w:p w14:paraId="545522C1"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Quyền sở hữu nhà ở:</w:t>
      </w:r>
    </w:p>
    <w:p w14:paraId="6123360E"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Địa chỉ: Nhà đất số 13E đường Hồ Hảo Hớn, phường Cầu Ông Lãnh (trước đây là phường Cô Giang, Quận 1), Thành phố Hồ Chí Minh</w:t>
      </w:r>
    </w:p>
    <w:p w14:paraId="1EDD9F2A"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Kết cấu: tường gạch, cột gạch, sàn gỗ, nền gạch men, mái tôn</w:t>
      </w:r>
    </w:p>
    <w:p w14:paraId="372FCD33"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Số tầng: 02.</w:t>
      </w:r>
    </w:p>
    <w:p w14:paraId="3FDFE72F"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Diện tích xây dựng: 49.8 m²</w:t>
      </w:r>
    </w:p>
    <w:p w14:paraId="0BB4BEC2"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Diện tích sản xây dựng: 60.3 m² (trong đó được công nhận theo GCN:</w:t>
      </w:r>
    </w:p>
    <w:p w14:paraId="3006D34C"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47.8 m²)</w:t>
      </w:r>
    </w:p>
    <w:p w14:paraId="10E4D4A4"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Ghi chú:</w:t>
      </w:r>
    </w:p>
    <w:p w14:paraId="35BE5CBD" w14:textId="77777777" w:rsidR="00F663A7" w:rsidRPr="00F663A7" w:rsidRDefault="00F663A7" w:rsidP="00F663A7">
      <w:pPr>
        <w:spacing w:before="120" w:line="300" w:lineRule="exact"/>
        <w:ind w:firstLine="720"/>
        <w:jc w:val="both"/>
        <w:rPr>
          <w:color w:val="000000"/>
          <w:sz w:val="28"/>
          <w:szCs w:val="28"/>
        </w:rPr>
      </w:pPr>
      <w:r w:rsidRPr="00F663A7">
        <w:rPr>
          <w:color w:val="000000"/>
          <w:sz w:val="28"/>
          <w:szCs w:val="28"/>
        </w:rPr>
        <w:t>- Phần diện tích không được chứng nhận chưa được các cơ quan chức năng có thẩm quyền phê duyệt (Diện tích: 2.4 m²).</w:t>
      </w:r>
    </w:p>
    <w:p w14:paraId="7728FCF5" w14:textId="71D64C5F" w:rsidR="007A122F" w:rsidRPr="00F663A7" w:rsidRDefault="00F663A7" w:rsidP="00F663A7">
      <w:pPr>
        <w:spacing w:before="120" w:line="300" w:lineRule="exact"/>
        <w:ind w:firstLine="720"/>
        <w:jc w:val="both"/>
        <w:rPr>
          <w:color w:val="000000"/>
          <w:sz w:val="28"/>
          <w:szCs w:val="28"/>
        </w:rPr>
      </w:pPr>
      <w:r w:rsidRPr="00F663A7">
        <w:rPr>
          <w:color w:val="000000"/>
          <w:sz w:val="28"/>
          <w:szCs w:val="28"/>
        </w:rPr>
        <w:t>- Phần diện tích xây dựng tăng thêm so với GCN là 12.5 m², do đương sự xây dựng trái phép sau thời điểm cấp GCN đến nay chưa có quyết định tháo dỡ, quyết định xử phạt vi phạm hành chính. Người mua được tài sản đầu giá tự liên hệ với các cơ quan có thẩm quyền để hợp thức hóa hoặc bị tháo dỡ, xử lý theo quy định và chịu toàn bộ mọi chi phí.</w:t>
      </w:r>
    </w:p>
    <w:p w14:paraId="35A472B2" w14:textId="77777777" w:rsidR="00260BB6" w:rsidRPr="00260BB6" w:rsidRDefault="007A122F" w:rsidP="00260BB6">
      <w:pPr>
        <w:spacing w:before="120" w:line="300" w:lineRule="exact"/>
        <w:ind w:firstLine="720"/>
        <w:jc w:val="both"/>
        <w:rPr>
          <w:b/>
          <w:bCs/>
          <w:sz w:val="28"/>
          <w:szCs w:val="28"/>
        </w:rPr>
      </w:pPr>
      <w:r w:rsidRPr="00260BB6">
        <w:rPr>
          <w:b/>
          <w:bCs/>
          <w:color w:val="000000"/>
          <w:sz w:val="28"/>
          <w:szCs w:val="28"/>
        </w:rPr>
        <w:t>- Giá khởi điểm:</w:t>
      </w:r>
      <w:r w:rsidRPr="00260BB6">
        <w:rPr>
          <w:b/>
          <w:bCs/>
          <w:sz w:val="28"/>
          <w:szCs w:val="28"/>
          <w:lang w:val="vi-VN"/>
        </w:rPr>
        <w:t xml:space="preserve"> </w:t>
      </w:r>
      <w:bookmarkEnd w:id="0"/>
    </w:p>
    <w:p w14:paraId="31F71BEF" w14:textId="77777777" w:rsidR="00F663A7" w:rsidRPr="00F663A7" w:rsidRDefault="00F663A7" w:rsidP="00F663A7">
      <w:pPr>
        <w:spacing w:before="120" w:line="300" w:lineRule="exact"/>
        <w:ind w:firstLine="720"/>
        <w:jc w:val="both"/>
        <w:rPr>
          <w:b/>
          <w:bCs/>
          <w:color w:val="000000"/>
          <w:sz w:val="28"/>
          <w:szCs w:val="28"/>
        </w:rPr>
      </w:pPr>
      <w:r w:rsidRPr="00F663A7">
        <w:rPr>
          <w:b/>
          <w:bCs/>
          <w:color w:val="000000"/>
          <w:sz w:val="28"/>
          <w:szCs w:val="28"/>
        </w:rPr>
        <w:t>Viết bằng số: 9.958.612.299 đồng;</w:t>
      </w:r>
    </w:p>
    <w:p w14:paraId="54339DCA" w14:textId="6FF77FE1" w:rsidR="00260BB6" w:rsidRPr="006D4CB8" w:rsidRDefault="00F663A7" w:rsidP="00F663A7">
      <w:pPr>
        <w:spacing w:before="120" w:line="300" w:lineRule="exact"/>
        <w:ind w:firstLine="720"/>
        <w:jc w:val="both"/>
        <w:rPr>
          <w:b/>
          <w:bCs/>
          <w:color w:val="000000"/>
          <w:sz w:val="28"/>
          <w:szCs w:val="28"/>
        </w:rPr>
      </w:pPr>
      <w:r w:rsidRPr="00F663A7">
        <w:rPr>
          <w:color w:val="000000"/>
          <w:sz w:val="28"/>
          <w:szCs w:val="28"/>
        </w:rPr>
        <w:t>Viết bằng chữ: Chín tỷ chín trăm năm mươi tám triệu sáu trăm mười hai nghìn hai trăm chín mươi chín đồng.</w:t>
      </w:r>
      <w:r w:rsidR="00260BB6">
        <w:rPr>
          <w:bCs/>
          <w:color w:val="000000"/>
          <w:sz w:val="28"/>
          <w:szCs w:val="28"/>
        </w:rPr>
        <w:t>.</w:t>
      </w:r>
    </w:p>
    <w:p w14:paraId="7A7D3E55" w14:textId="5B393B67" w:rsidR="007A122F" w:rsidRDefault="007A122F" w:rsidP="007A122F">
      <w:pPr>
        <w:spacing w:before="120" w:after="120"/>
        <w:ind w:firstLine="567"/>
        <w:jc w:val="both"/>
        <w:rPr>
          <w:sz w:val="28"/>
          <w:szCs w:val="28"/>
        </w:rPr>
      </w:pPr>
    </w:p>
    <w:p w14:paraId="31CD427C" w14:textId="77777777" w:rsidR="007A122F" w:rsidRDefault="007A122F" w:rsidP="007A122F">
      <w:pPr>
        <w:tabs>
          <w:tab w:val="left" w:pos="851"/>
        </w:tabs>
        <w:spacing w:before="120" w:after="120"/>
        <w:ind w:firstLine="567"/>
        <w:jc w:val="both"/>
        <w:rPr>
          <w:sz w:val="28"/>
          <w:szCs w:val="28"/>
        </w:rPr>
      </w:pPr>
    </w:p>
    <w:p w14:paraId="2A7C4F69" w14:textId="77777777" w:rsidR="00B34329" w:rsidRDefault="00B34329"/>
    <w:sectPr w:rsidR="00B34329">
      <w:headerReference w:type="default" r:id="rId6"/>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CE55" w14:textId="77777777" w:rsidR="00C2137E" w:rsidRDefault="00C2137E">
      <w:r>
        <w:separator/>
      </w:r>
    </w:p>
  </w:endnote>
  <w:endnote w:type="continuationSeparator" w:id="0">
    <w:p w14:paraId="45622246" w14:textId="77777777" w:rsidR="00C2137E" w:rsidRDefault="00C2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44F8" w14:textId="77777777" w:rsidR="00C2137E" w:rsidRDefault="00C2137E">
      <w:r>
        <w:separator/>
      </w:r>
    </w:p>
  </w:footnote>
  <w:footnote w:type="continuationSeparator" w:id="0">
    <w:p w14:paraId="7B996C8E" w14:textId="77777777" w:rsidR="00C2137E" w:rsidRDefault="00C2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CC33" w14:textId="77777777" w:rsidR="00B34329" w:rsidRDefault="00036C8F">
    <w:pPr>
      <w:pStyle w:val="Header"/>
      <w:jc w:val="center"/>
    </w:pPr>
    <w:r>
      <w:fldChar w:fldCharType="begin"/>
    </w:r>
    <w:r>
      <w:instrText xml:space="preserve"> PAGE   \* MERGEFORMAT </w:instrText>
    </w:r>
    <w:r>
      <w:fldChar w:fldCharType="separate"/>
    </w:r>
    <w:r>
      <w:t>2</w:t>
    </w:r>
    <w:r>
      <w:fldChar w:fldCharType="end"/>
    </w:r>
  </w:p>
  <w:p w14:paraId="1B52B69E" w14:textId="77777777" w:rsidR="00B34329" w:rsidRDefault="00B34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2F"/>
    <w:rsid w:val="00036C8F"/>
    <w:rsid w:val="00260BB6"/>
    <w:rsid w:val="002D55F0"/>
    <w:rsid w:val="00434A0A"/>
    <w:rsid w:val="005449F0"/>
    <w:rsid w:val="006C5A57"/>
    <w:rsid w:val="007A122F"/>
    <w:rsid w:val="007B472D"/>
    <w:rsid w:val="00803B11"/>
    <w:rsid w:val="00B34329"/>
    <w:rsid w:val="00B51A00"/>
    <w:rsid w:val="00C2137E"/>
    <w:rsid w:val="00C37D17"/>
    <w:rsid w:val="00CD359C"/>
    <w:rsid w:val="00DD7C14"/>
    <w:rsid w:val="00E16B5E"/>
    <w:rsid w:val="00F6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518D"/>
  <w15:chartTrackingRefBased/>
  <w15:docId w15:val="{048684C6-3423-3343-8C8B-5EB9FB7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2F"/>
    <w:rPr>
      <w:rFonts w:ascii="Times New Roman" w:eastAsia="Times New Roman" w:hAnsi="Times New Roman" w:cs="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22F"/>
    <w:pPr>
      <w:tabs>
        <w:tab w:val="center" w:pos="4680"/>
        <w:tab w:val="right" w:pos="9360"/>
      </w:tabs>
    </w:pPr>
  </w:style>
  <w:style w:type="character" w:customStyle="1" w:styleId="HeaderChar">
    <w:name w:val="Header Char"/>
    <w:basedOn w:val="DefaultParagraphFont"/>
    <w:link w:val="Header"/>
    <w:uiPriority w:val="99"/>
    <w:rsid w:val="007A122F"/>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0286">
      <w:bodyDiv w:val="1"/>
      <w:marLeft w:val="0"/>
      <w:marRight w:val="0"/>
      <w:marTop w:val="0"/>
      <w:marBottom w:val="0"/>
      <w:divBdr>
        <w:top w:val="none" w:sz="0" w:space="0" w:color="auto"/>
        <w:left w:val="none" w:sz="0" w:space="0" w:color="auto"/>
        <w:bottom w:val="none" w:sz="0" w:space="0" w:color="auto"/>
        <w:right w:val="none" w:sz="0" w:space="0" w:color="auto"/>
      </w:divBdr>
    </w:div>
    <w:div w:id="292516362">
      <w:bodyDiv w:val="1"/>
      <w:marLeft w:val="0"/>
      <w:marRight w:val="0"/>
      <w:marTop w:val="0"/>
      <w:marBottom w:val="0"/>
      <w:divBdr>
        <w:top w:val="none" w:sz="0" w:space="0" w:color="auto"/>
        <w:left w:val="none" w:sz="0" w:space="0" w:color="auto"/>
        <w:bottom w:val="none" w:sz="0" w:space="0" w:color="auto"/>
        <w:right w:val="none" w:sz="0" w:space="0" w:color="auto"/>
      </w:divBdr>
    </w:div>
    <w:div w:id="376780346">
      <w:bodyDiv w:val="1"/>
      <w:marLeft w:val="0"/>
      <w:marRight w:val="0"/>
      <w:marTop w:val="0"/>
      <w:marBottom w:val="0"/>
      <w:divBdr>
        <w:top w:val="none" w:sz="0" w:space="0" w:color="auto"/>
        <w:left w:val="none" w:sz="0" w:space="0" w:color="auto"/>
        <w:bottom w:val="none" w:sz="0" w:space="0" w:color="auto"/>
        <w:right w:val="none" w:sz="0" w:space="0" w:color="auto"/>
      </w:divBdr>
    </w:div>
    <w:div w:id="551160656">
      <w:bodyDiv w:val="1"/>
      <w:marLeft w:val="0"/>
      <w:marRight w:val="0"/>
      <w:marTop w:val="0"/>
      <w:marBottom w:val="0"/>
      <w:divBdr>
        <w:top w:val="none" w:sz="0" w:space="0" w:color="auto"/>
        <w:left w:val="none" w:sz="0" w:space="0" w:color="auto"/>
        <w:bottom w:val="none" w:sz="0" w:space="0" w:color="auto"/>
        <w:right w:val="none" w:sz="0" w:space="0" w:color="auto"/>
      </w:divBdr>
    </w:div>
    <w:div w:id="1262949552">
      <w:bodyDiv w:val="1"/>
      <w:marLeft w:val="0"/>
      <w:marRight w:val="0"/>
      <w:marTop w:val="0"/>
      <w:marBottom w:val="0"/>
      <w:divBdr>
        <w:top w:val="none" w:sz="0" w:space="0" w:color="auto"/>
        <w:left w:val="none" w:sz="0" w:space="0" w:color="auto"/>
        <w:bottom w:val="none" w:sz="0" w:space="0" w:color="auto"/>
        <w:right w:val="none" w:sz="0" w:space="0" w:color="auto"/>
      </w:divBdr>
    </w:div>
    <w:div w:id="13836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4D6E8-4C29-44E0-B163-30E4F2E30203}"/>
</file>

<file path=customXml/itemProps2.xml><?xml version="1.0" encoding="utf-8"?>
<ds:datastoreItem xmlns:ds="http://schemas.openxmlformats.org/officeDocument/2006/customXml" ds:itemID="{5A93238C-90C9-41DD-BF31-A81828D3933D}"/>
</file>

<file path=customXml/itemProps3.xml><?xml version="1.0" encoding="utf-8"?>
<ds:datastoreItem xmlns:ds="http://schemas.openxmlformats.org/officeDocument/2006/customXml" ds:itemID="{322BEA0E-EBC2-4A1C-937F-B69A33DE3621}"/>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Ngọc Linh</dc:creator>
  <cp:keywords/>
  <dc:description/>
  <cp:lastModifiedBy>Dũng Phạm</cp:lastModifiedBy>
  <cp:revision>3</cp:revision>
  <dcterms:created xsi:type="dcterms:W3CDTF">2026-02-04T07:39:00Z</dcterms:created>
  <dcterms:modified xsi:type="dcterms:W3CDTF">2026-02-04T07:41:00Z</dcterms:modified>
</cp:coreProperties>
</file>